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Механика-математика факультеті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Математика кафедрасы</w:t>
      </w: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7"/>
        <w:gridCol w:w="5218"/>
      </w:tblGrid>
      <w:tr w:rsidR="004F6805">
        <w:tc>
          <w:tcPr>
            <w:tcW w:w="4427" w:type="dxa"/>
          </w:tcPr>
          <w:p w:rsidR="004F6805" w:rsidRDefault="004F68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</w:tcPr>
          <w:p w:rsidR="004F6805" w:rsidRDefault="008527EC">
            <w:pPr>
              <w:pStyle w:val="1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БЕКІТЕМІН</w:t>
            </w:r>
          </w:p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Факультет деканы</w:t>
            </w:r>
          </w:p>
          <w:p w:rsidR="004F6805" w:rsidRDefault="0085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 Д.Б.Жакебаев</w:t>
            </w:r>
          </w:p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(қолы)</w:t>
            </w:r>
          </w:p>
          <w:p w:rsidR="004F6805" w:rsidRDefault="008527EC" w:rsidP="0045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54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</w:t>
            </w:r>
          </w:p>
        </w:tc>
      </w:tr>
    </w:tbl>
    <w:p w:rsidR="004F6805" w:rsidRDefault="004F68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8527EC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ПӘННІҢ ОҚУ-ӘДІСТЕМЕЛІК КЕШЕНІ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6В04106 Қаржы (сала бойынша)»</w:t>
      </w: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6В04106 Қаржы (сала бойынша)»</w:t>
      </w:r>
    </w:p>
    <w:p w:rsidR="004F6805" w:rsidRDefault="008527EC">
      <w:pPr>
        <w:spacing w:after="0"/>
        <w:ind w:left="1416" w:firstLine="7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бағдарламасы «білім беру бағдарламасының атауы</w:t>
      </w:r>
      <w:bookmarkStart w:id="1" w:name="_GoBack"/>
      <w:bookmarkEnd w:id="1"/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540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527EC">
        <w:rPr>
          <w:rFonts w:ascii="Times New Roman" w:eastAsia="Times New Roman" w:hAnsi="Times New Roman" w:cs="Times New Roman"/>
          <w:sz w:val="24"/>
          <w:szCs w:val="24"/>
        </w:rPr>
        <w:t> – Курс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3– Семестр 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Кредит саны – 3</w:t>
      </w:r>
    </w:p>
    <w:p w:rsidR="004F6805" w:rsidRDefault="004F68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4F6805" w:rsidP="0045403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805" w:rsidRDefault="008527E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Алматы 202</w:t>
      </w:r>
      <w:r w:rsidR="00454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ж.</w:t>
      </w:r>
      <w:r>
        <w:br w:type="page"/>
      </w:r>
    </w:p>
    <w:p w:rsidR="004F6805" w:rsidRDefault="008527E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Оқу-әдістемелік кешенін әзірлеген </w:t>
      </w:r>
      <w:r w:rsidR="00454037">
        <w:rPr>
          <w:rFonts w:ascii="Times New Roman" w:eastAsia="Times New Roman" w:hAnsi="Times New Roman" w:cs="Times New Roman"/>
          <w:color w:val="000000"/>
          <w:sz w:val="24"/>
          <w:szCs w:val="24"/>
        </w:rPr>
        <w:t>Атахан Нилупар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6805" w:rsidRDefault="004F6805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F6805" w:rsidRDefault="004F6805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F6805" w:rsidRDefault="008527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Мамандық бойынша негізгі оқу жоспарына сәйкес</w:t>
      </w:r>
    </w:p>
    <w:p w:rsidR="004F6805" w:rsidRDefault="004F68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805" w:rsidRDefault="008527E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кафедрасы мәжілісінде қарастырылды және  ұсынылды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4F6805" w:rsidRDefault="008527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__________, 202</w:t>
      </w:r>
      <w:r w:rsidR="0045403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ж., №__ хаттама </w:t>
      </w:r>
    </w:p>
    <w:p w:rsidR="004F6805" w:rsidRDefault="004F68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37" w:rsidRPr="001471C4" w:rsidRDefault="00454037" w:rsidP="004540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1C4">
        <w:rPr>
          <w:rFonts w:ascii="Times New Roman" w:hAnsi="Times New Roman" w:cs="Times New Roman"/>
          <w:sz w:val="24"/>
          <w:szCs w:val="24"/>
        </w:rPr>
        <w:t>Математика кафедрасының меңгерушісі ________________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471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Д. К</w:t>
      </w:r>
      <w:r w:rsidRPr="001471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шанов</w:t>
      </w:r>
    </w:p>
    <w:p w:rsidR="00454037" w:rsidRPr="001471C4" w:rsidRDefault="00454037" w:rsidP="00454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</w:r>
      <w:r w:rsidRPr="001471C4">
        <w:rPr>
          <w:rFonts w:ascii="Times New Roman" w:hAnsi="Times New Roman" w:cs="Times New Roman"/>
          <w:sz w:val="24"/>
          <w:szCs w:val="24"/>
        </w:rPr>
        <w:tab/>
        <w:t xml:space="preserve"> (қолы)</w:t>
      </w:r>
    </w:p>
    <w:p w:rsidR="004F6805" w:rsidRDefault="004F6805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pStyle w:val="3"/>
        <w:spacing w:after="0"/>
        <w:ind w:firstLine="402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8527EC">
      <w:pPr>
        <w:pStyle w:val="3"/>
        <w:spacing w:before="0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Факультеттің әдістемелік бюро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мәжілісінде ұсынылды </w:t>
      </w:r>
    </w:p>
    <w:p w:rsidR="004F6805" w:rsidRDefault="004540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 2022</w:t>
      </w:r>
      <w:r w:rsidR="008527EC">
        <w:rPr>
          <w:rFonts w:ascii="Times New Roman" w:eastAsia="Times New Roman" w:hAnsi="Times New Roman" w:cs="Times New Roman"/>
          <w:sz w:val="24"/>
          <w:szCs w:val="24"/>
        </w:rPr>
        <w:t xml:space="preserve"> ж., №__ хаттама </w:t>
      </w: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8527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Механика-математика факультетінің </w:t>
      </w:r>
    </w:p>
    <w:p w:rsidR="004F6805" w:rsidRDefault="008527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әдістемелік бюросының төрайымы____________________ Ділдабек Г.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(қолы)</w:t>
      </w:r>
    </w:p>
    <w:p w:rsidR="004F6805" w:rsidRDefault="004F68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6805" w:rsidRDefault="004F6805">
      <w:pPr>
        <w:spacing w:after="0"/>
        <w:rPr>
          <w:sz w:val="28"/>
          <w:szCs w:val="28"/>
        </w:rPr>
      </w:pPr>
    </w:p>
    <w:p w:rsidR="004F6805" w:rsidRDefault="004F6805">
      <w:pPr>
        <w:spacing w:after="0"/>
      </w:pPr>
    </w:p>
    <w:p w:rsidR="004F6805" w:rsidRDefault="004F6805">
      <w:pPr>
        <w:spacing w:after="0"/>
      </w:pPr>
    </w:p>
    <w:p w:rsidR="004F6805" w:rsidRDefault="008527EC">
      <w:pPr>
        <w:spacing w:after="0"/>
        <w:rPr>
          <w:i/>
        </w:rPr>
      </w:pPr>
      <w:r>
        <w:rPr>
          <w:i/>
        </w:rPr>
        <w:t xml:space="preserve">   </w:t>
      </w:r>
    </w:p>
    <w:p w:rsidR="004F6805" w:rsidRDefault="004F6805">
      <w:pPr>
        <w:spacing w:after="0"/>
        <w:rPr>
          <w:i/>
        </w:rPr>
      </w:pPr>
    </w:p>
    <w:p w:rsidR="004F6805" w:rsidRDefault="004F6805">
      <w:pPr>
        <w:spacing w:after="0"/>
        <w:rPr>
          <w:i/>
        </w:rPr>
      </w:pPr>
    </w:p>
    <w:p w:rsidR="004F6805" w:rsidRDefault="004F6805">
      <w:pPr>
        <w:spacing w:after="0"/>
        <w:jc w:val="right"/>
        <w:rPr>
          <w:i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СИЛЛАБУС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6В04106 Қаржы (сала бойынша)»</w:t>
      </w:r>
    </w:p>
    <w:p w:rsidR="004F6805" w:rsidRDefault="008527EC">
      <w:pPr>
        <w:spacing w:after="0"/>
        <w:jc w:val="center"/>
        <w:rPr>
          <w:rFonts w:ascii="Tahoma" w:eastAsia="Tahoma" w:hAnsi="Tahoma" w:cs="Tahoma"/>
          <w:color w:val="666666"/>
          <w:sz w:val="17"/>
          <w:szCs w:val="17"/>
          <w:shd w:val="clear" w:color="auto" w:fill="F1F1F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білім беру бағдарламасы бойынша</w:t>
      </w:r>
    </w:p>
    <w:p w:rsidR="004F6805" w:rsidRDefault="008527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540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540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жылының күзгі семестрі</w:t>
      </w:r>
    </w:p>
    <w:p w:rsidR="004F6805" w:rsidRDefault="004F68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445"/>
        <w:gridCol w:w="511"/>
        <w:gridCol w:w="822"/>
        <w:gridCol w:w="113"/>
        <w:gridCol w:w="625"/>
        <w:gridCol w:w="1134"/>
        <w:gridCol w:w="331"/>
        <w:gridCol w:w="945"/>
        <w:gridCol w:w="425"/>
        <w:gridCol w:w="975"/>
        <w:gridCol w:w="1009"/>
      </w:tblGrid>
      <w:tr w:rsidR="004F6805">
        <w:trPr>
          <w:trHeight w:val="26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аты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3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4F6805">
        <w:trPr>
          <w:trHeight w:val="26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сабақтар</w:t>
            </w:r>
          </w:p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(ПС)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805">
        <w:trPr>
          <w:trHeight w:val="46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2208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Экономикадағы математика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6805">
        <w:tc>
          <w:tcPr>
            <w:tcW w:w="104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 туралы  академиялы  қақпарат</w:t>
            </w:r>
          </w:p>
        </w:tc>
      </w:tr>
      <w:tr w:rsidR="004F6805">
        <w:trPr>
          <w:trHeight w:val="3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4F680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 /</w:t>
            </w:r>
          </w:p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Аралас сабақ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Теориялық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Жаңа ақпарат беру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Ұжымдық сабақ, теориялық білімді есептер шығаруда қолдану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СДО Moodle</w:t>
            </w:r>
          </w:p>
        </w:tc>
      </w:tr>
      <w:tr w:rsidR="004F680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Дәріскер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5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Атахан Нилупар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805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05" w:rsidRDefault="00454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atakhannilupar</w:t>
            </w:r>
            <w:proofErr w:type="spellEnd"/>
            <w:r w:rsidR="008527EC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8527EC">
              <w:rPr>
                <w:rFonts w:ascii="Times New Roman" w:eastAsia="Times New Roman" w:hAnsi="Times New Roman" w:cs="Times New Roman"/>
                <w:sz w:val="24"/>
                <w:szCs w:val="24"/>
              </w:rPr>
              <w:t>mail.</w:t>
            </w:r>
          </w:p>
        </w:tc>
        <w:tc>
          <w:tcPr>
            <w:tcW w:w="3685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805">
        <w:trPr>
          <w:trHeight w:val="4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221-15-68</w:t>
            </w:r>
          </w:p>
        </w:tc>
        <w:tc>
          <w:tcPr>
            <w:tcW w:w="3685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6805" w:rsidRDefault="00852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Курстың академиялық презентациясы</w:t>
      </w:r>
    </w:p>
    <w:tbl>
      <w:tblPr>
        <w:tblStyle w:val="a7"/>
        <w:tblW w:w="1042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4092"/>
        <w:gridCol w:w="4093"/>
      </w:tblGrid>
      <w:tr w:rsidR="004F6805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4F6805">
        <w:trPr>
          <w:trHeight w:val="69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экономикалық есептерді модельдеуге,талдауға, шешуге мүмкіндік беретін математиканың теориялық білімдері мен практикалық дағдыларын  қалыптастыру.</w:t>
            </w: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1. Математиканың теориялық (негізгі ұғымдар, теоремалар, ережелер мен әдістер) негіздерін біледі. Когнитивтi құзыреттілік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 1. Пән бойынша теориялық білімдерін (негізгі түсініктер, теоремалар, ережелер) бар екенін көрсетеді. </w:t>
            </w:r>
          </w:p>
        </w:tc>
      </w:tr>
      <w:tr w:rsidR="004F6805">
        <w:trPr>
          <w:trHeight w:val="69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2. Анықтаушыларды есептейді, кері матрицаны табады және сызықтық теңдеулер жүйесін шешеді.</w:t>
            </w:r>
          </w:p>
        </w:tc>
      </w:tr>
      <w:tr w:rsidR="004F6805">
        <w:trPr>
          <w:trHeight w:val="47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2. Сызықты теңдеулер жүйесін, дифференциалдық және интегралдық есептеулерді, кездейсоқ шамалар ұғымындарын біледі/ Когнитивтi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3. Шек есептейдi, туынды таб</w:t>
            </w:r>
            <w:r>
              <w:rPr>
                <w:rFonts w:ascii="Times New Roman" w:eastAsia="Times New Roman" w:hAnsi="Times New Roman" w:cs="Times New Roman"/>
              </w:rPr>
              <w:t>ады, интегралды есептейді.</w:t>
            </w:r>
          </w:p>
        </w:tc>
      </w:tr>
      <w:tr w:rsidR="004F6805">
        <w:trPr>
          <w:trHeight w:val="72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4. Оқиғалардың ықтималдығын және кездейсоқ шамалардың сандық сипаттамаларын табады.</w:t>
            </w:r>
          </w:p>
        </w:tc>
      </w:tr>
      <w:tr w:rsidR="004F6805">
        <w:trPr>
          <w:trHeight w:val="69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3. Математикалық есептерді зерттеу әдістері мен шешу жолдарын меңгереді. Функционалды құзыреттілік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5. Математикалық тапсырмаларды орындаудга керек әдісін дербес анықтайды.</w:t>
            </w:r>
          </w:p>
        </w:tc>
      </w:tr>
      <w:tr w:rsidR="004F6805">
        <w:trPr>
          <w:trHeight w:val="69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6. Өзінің дәлелдерін негіздейді.</w:t>
            </w:r>
          </w:p>
        </w:tc>
      </w:tr>
      <w:tr w:rsidR="004F6805">
        <w:trPr>
          <w:trHeight w:val="861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Түрлі экономикалық мәселелерді шешуде дифференциалды және интегралды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есептеу әдістерін қолданады. Функционалды құзыреттілік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 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Экономикалық есептерді шешуде қалыптасқан саралау дағдыларын көрсетеді.</w:t>
            </w:r>
          </w:p>
        </w:tc>
      </w:tr>
      <w:tr w:rsidR="004F6805">
        <w:trPr>
          <w:trHeight w:val="86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Дифференциалдық есептерді шешуде интегралдау дағдыларын көрсетеді.</w:t>
            </w:r>
          </w:p>
        </w:tc>
      </w:tr>
      <w:tr w:rsidR="004F6805">
        <w:trPr>
          <w:trHeight w:val="69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Математикалық білімдерінің қайда және қалай қолданылатынын классификациялай  алады. Жүйел i құзыреттілік.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9.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Рефераттарды, СӨЖ, бақылау жұмыстарын талапқа сай дайындайды.</w:t>
            </w:r>
          </w:p>
        </w:tc>
      </w:tr>
      <w:tr w:rsidR="004F6805">
        <w:trPr>
          <w:trHeight w:val="692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10.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Топта жұмыс жасай алатынын көрсетеді.</w:t>
            </w:r>
          </w:p>
        </w:tc>
      </w:tr>
      <w:tr w:rsidR="004F6805">
        <w:trPr>
          <w:trHeight w:val="41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Пререквизиттер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математикасы курсынан алған білімдері, сандармен, қарапайым функциялардың графиктерімен жұмыс жасай білу, есептеу дағдылары</w:t>
            </w:r>
          </w:p>
        </w:tc>
      </w:tr>
      <w:tr w:rsidR="004F6805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постреквезиттер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keepNext/>
              <w:tabs>
                <w:tab w:val="center" w:pos="9639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Cтатистика, Микро және макроэкономика, Эконометрика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сынды пәндердегі математикалық  білімдерді  ұғу білігі  бар</w:t>
            </w:r>
          </w:p>
        </w:tc>
      </w:tr>
      <w:tr w:rsidR="004F6805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 мен ресурстар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Негізгілері: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Оразбекова Л.Н. Экономикадағы математика -1, оқу құралы– Алматы: Қазақ университеті, 2014. - 222 б.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Оразбекова Л.Н. Экономикадағы математика -2, оқу құ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ралы– Алматы: Қазақ университеті, 2015. –224 б.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Қабдықайырұлы Қ. Жоғары математика: Оқулық. ЖШС РПБК «Дәуір» Өңделіп толықт., 4-бас. 2006ж. 528 б.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Махмеджанов Н.М. Жоғары математика есептер жинағы – Алматы: Дәуір, 2008. - 392 б.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Казешев А.К. Экономистергеарналган математика :окулык - Алматы : Экономика, 2011. - 528 бет.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Высшая математика для экономистов/Под ред.  Н.Ш.Кремера. – М.: Банки и биржи, ЮНИТИ, 1999. - 471с.</w:t>
            </w:r>
          </w:p>
          <w:p w:rsidR="004F6805" w:rsidRDefault="008527EC">
            <w:pPr>
              <w:tabs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Кремер Н.Ш. Теория вероятностей и математическая статистика.– М.: ЮНИТИ-ДАНА, 2000. - 543с.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S.Salas, G.Etgen, E.Hille. Calculus: One and Several Variables; Wiley 10 edition, 1168p, 2006.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Қосымша: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 Белько, К.К. Кузьмин «Высшая математика для экономис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тов»,-М: «Новое знание», 2006г.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Карасев А.И., Аксютина З.М., Савельева Т.И. Курс высшей математики для экономических вузов. - М.: Высшая школа, 1982, -304с.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Лунгу К.Н. и др. Сборник задач по высшей математике (с контрольными работами). М.: Наука, 2007. </w:t>
            </w:r>
          </w:p>
          <w:p w:rsidR="004F6805" w:rsidRDefault="008527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порожец Г.И. Руководство к решению задач по математическому анализу. М.: Высшая школа, 1964.</w:t>
            </w:r>
          </w:p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Пән бойынша қосымша мәліметтер univer.kaznu.kz сайтында берілген</w:t>
            </w:r>
          </w:p>
        </w:tc>
      </w:tr>
      <w:tr w:rsidR="004F6805">
        <w:trPr>
          <w:trHeight w:val="352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 университеттік моральдық-этикалық құндылықтар контекстіндегі академиялық саясаты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Академиялық мінез-құлық ережелері: </w:t>
            </w:r>
          </w:p>
          <w:p w:rsidR="004F6805" w:rsidRDefault="008527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Әрбір аудиторлық  сабаққа (семинарлық) төменде  келтірілген  кестеге  сәйкес алдын-ала дайындалу керек.  Тапсырмаларды  дайындау  тақырып  талқыланатын аудиториялық  сабаққа дейін аяқталуы  тиіс. Онлайн курс модульдерін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өту  мерзімі  пәнді  оқыту  кестесіне  сәйкес  мүлтіксіз  НАЗАР АУДАРЫҢЫЗ! Дедлайндарды  сақтамау  баллдардың  жоғалуына әкеледі! Әрбір  тапсырманың  дедлайны  оқу  курсының  мазмұнын  жүзеге  асыру  күнтізбесінде (кестесінде), сондай-ақ ЖООК-та көрсетілг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</w:t>
            </w:r>
          </w:p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Академиялық  құндылықтар:</w:t>
            </w:r>
          </w:p>
          <w:p w:rsidR="004F6805" w:rsidRDefault="008527E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Практикалық / зертханалық  сабақтар, СӨЖ өзіндік, шығармашылық  сипатта  болуы  керек.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F6805" w:rsidRDefault="008527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Мүмкіндігі  шектеулі  студенттер 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Orazbekova1602@gmail.com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- мекен-жайбойынша  консультациялық көмек ала  алады</w:t>
            </w:r>
          </w:p>
        </w:tc>
      </w:tr>
      <w:tr w:rsidR="004F6805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6805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 жіне аттестациялау саясаты</w:t>
            </w:r>
          </w:p>
          <w:p w:rsidR="004F6805" w:rsidRDefault="004F6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Критериалды  бағалау: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дескрипторларға сәйкес  оқыту  нәтижелерін  бағалау (аралық  бақылау мен емтихандарда  құзыреттіліктің  қалыптасуын  тексеру).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Жиынтық  бағалау: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аудиториядағы  (вебинардағы) жұмыстың  белсенділігін  бағалау; орындалғант  тапсырманы  бағалау.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Пәннің қорытын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ды бағасы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0,2 ∙(АБ1+АБ(МТ)+АБ2)+0,4 ∙КБ</m:t>
              </m:r>
            </m:oMath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АБ1, АБ2 – аралық бақылау, МТ – аралық емтихан, КБ – қортынды бағалау (емтихан).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Төменде бағалау ережесі пайызбен көрсетілген: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 - 84%: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75% - 79%: 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70% - 74%: С+</w:t>
            </w:r>
          </w:p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 - 69%: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60% - 64%: С-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- 54%: D-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25% -49%: FX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4F6805" w:rsidRDefault="004F6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4F6805">
        <w:tc>
          <w:tcPr>
            <w:tcW w:w="10490" w:type="dxa"/>
            <w:tcBorders>
              <w:bottom w:val="single" w:sz="4" w:space="0" w:color="000000"/>
            </w:tcBorders>
            <w:shd w:val="clear" w:color="auto" w:fill="auto"/>
          </w:tcPr>
          <w:p w:rsidR="004F6805" w:rsidRDefault="004F68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F6805" w:rsidRDefault="008527E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ОҚУ КУРСЫНЫҢ МАЗМҰНЫН ЖҮЗЕГЕ АСЫРУ КҮНТІЗБЕСІ (кестесі)</w:t>
            </w:r>
          </w:p>
        </w:tc>
      </w:tr>
    </w:tbl>
    <w:p w:rsidR="004F6805" w:rsidRDefault="004F68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102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0"/>
        <w:gridCol w:w="454"/>
        <w:gridCol w:w="1029"/>
        <w:gridCol w:w="2078"/>
        <w:gridCol w:w="832"/>
        <w:gridCol w:w="1029"/>
        <w:gridCol w:w="712"/>
        <w:gridCol w:w="800"/>
        <w:gridCol w:w="1620"/>
        <w:gridCol w:w="1090"/>
      </w:tblGrid>
      <w:tr w:rsidR="004F6805">
        <w:trPr>
          <w:trHeight w:val="48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 бағалау формасы</w:t>
            </w:r>
          </w:p>
        </w:tc>
      </w:tr>
      <w:tr w:rsidR="004F6805">
        <w:tc>
          <w:tcPr>
            <w:tcW w:w="10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Модуль  Сызықты алгебра және аналитикалық геометрия элементері</w:t>
            </w:r>
          </w:p>
        </w:tc>
      </w:tr>
      <w:tr w:rsidR="004F6805">
        <w:trPr>
          <w:trHeight w:val="34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Д. Матрица. Матрицаға қолданылатын амалдар. Анықтауыштар, қасиеттері. Кері матрица.Матрицаның рангісі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rPr>
          <w:trHeight w:val="291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ПС.Матрицаға қолданылатын амалдар. Анықтауыштар есептеу. Кері матрицаны есептеу. Матрицаның рангісі есептеу әдістері.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rPr>
          <w:trHeight w:val="291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СОӨЖ. 1- ӨЖ.«Сызықты алгебра» тарауы бойынша өздік жұмысты тарату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в СДО Moodle.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rPr>
          <w:trHeight w:val="257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Д. Сызықты алгебралық теңдеулер жүйесі.Крамер ережесі. Кері матрица және Гаусс әдістері. Жүйенің базистік шешімдері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rPr>
          <w:trHeight w:val="248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ПС.Сызықты теңдеулер жүйесін шешу. Крамер әдісі. Кері матрица әдісі. Гауссс әдісі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rPr>
          <w:trHeight w:val="242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Д. Векторларға қолданылатын амалдар. n-өлшемді вектор. Сызықты тәуелді және тәуелсіз векторлар жүйелері. Векторлар жүйесінің базисі, рангісі.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rPr>
          <w:trHeight w:val="273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практикалық (зертханалық) сабақ. Векторларға қолданылатын амалдар. Векторларды базис бойынша жіктеу.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rPr>
          <w:trHeight w:val="273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СОӨЖ. 1- ӨЖ.«Сызықты алгебра» тарауы бойынша өздік жұмысты қабылдау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Файл в PDF формате в СДО Moodle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ӨЖ</w:t>
            </w:r>
          </w:p>
        </w:tc>
      </w:tr>
      <w:tr w:rsidR="004F6805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Д. Жазықтықтағы түзу теңдеулері. Екі түзудің арасындағы бұрыш. Екі түзудің өзара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параллель және перпендикуляр болу шарттары.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rPr>
          <w:trHeight w:val="24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ПС. Жазықтықтағы түзу теңдеулері. Нүктеден түзуге дейінгі қашықтық.</w:t>
            </w:r>
          </w:p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Модуль  бойынша бақылау жұмысы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9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10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</w:t>
            </w:r>
          </w:p>
        </w:tc>
      </w:tr>
      <w:tr w:rsidR="004F6805"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5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Модуль Дифференциалдық есептеулер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Д. Жиын ұғымы. Функция ұғымы. Функция шегі. Шексіз аз шамалар, шексіз үлкен шамалар және олардың байланыстылығы. Тамаша екі шек.Функцияның нүктедегі үзіліссіздігі. Функцияның үзіліс нүктелері.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ПС.Функция шегін есептеу. Функция графигін түрлендіру. Функцияның үзіліс нүктелерін анықтау.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</w:tr>
      <w:tr w:rsidR="004F6805">
        <w:trPr>
          <w:trHeight w:val="34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СОӨЖ.Коллоквиум (1 Модуль  бойынша тест).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 в СДО Moodle.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</w:tr>
      <w:tr w:rsidR="004F6805">
        <w:trPr>
          <w:trHeight w:val="287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Аралық бақылау 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Д. Туынды ұғымы. Туындының экономикалық мағнасы. Туынды туралы негізгі теоремалар.   Жоғарғы ретті туындылар. Функция дифференциалы. Дифференциалдық есептеулердің негізгі теоремалары: Ферма, ОНлль, Лагранж. Лопиталь ережесі.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ПС. Функция дифференциалы. Функция туындысына келтірілетін есептер. Жоғарғы ретті туындыларды есептеу.Күрделі және кері функцияның туындысын есептеу.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</w:tr>
      <w:tr w:rsidR="004F6805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СОӨЖ. 2- ӨЖ. «Дифференциалдық есептеулер» тарауы бойынша өздік жұмысты талдау және тарату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в СДО Moodle.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Д. Функцияның өсу және кему белгілері. Функцияның экстремумдары. Функция экстремумының қажетті және жеткілікті шарттары. Функция графигінің дөңестігі және ойыстығы.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ПС. Функцияны туынды көмегімен зерттеу. Иілу нүктесі. Асимптоталар.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3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Д. Көпайнымалылы функциялар Деңгей сызықтары. Дербес туындылары. Толық дифференциал. Бағыт бойынша туынды. Градиент.Көпайнымалылар функциясының локалді экстремумы.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3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ПС. Дербес туындылар.Берілген бағыт бойынша туынды. Градиент.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4СОӨЖ. 2- ӨЖ.«Дифференциалдық есептеулер» тарауы бойынша өздік жұмысты қабылдау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Файл в PDF формате в СДО Moodle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ӨЖ</w:t>
            </w:r>
          </w:p>
        </w:tc>
      </w:tr>
      <w:tr w:rsidR="004F6805">
        <w:tc>
          <w:tcPr>
            <w:tcW w:w="1022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Модуль Интегралдық есептеулер және дифференциалдық теңдеулер</w:t>
            </w: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Д. Анықталмаған интегралдың анықтамасы және оның қасиеттері. Анықталмаған интегралдар кестесі. Интегралдаудың негізгі әдістері. Айнымалыларды ауыстыру әдісі. Бөлшектеп интегралдау.Рационал функцияларды интегралдау.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</w:t>
            </w:r>
            <w:r>
              <w:rPr>
                <w:rFonts w:ascii="Times New Roman" w:eastAsia="Times New Roman" w:hAnsi="Times New Roman" w:cs="Times New Roman"/>
              </w:rPr>
              <w:t>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ПС. Элементар және рационал функцияларды интегралдау. Квадраттық үшмүшеліктерді қамтитын функцияларды интегралдау.</w:t>
            </w:r>
          </w:p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Модуль  бойынша бақылау жұмысы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</w:t>
            </w: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Д. Анықталған интегралдың интегралдық қосынды шегі ретінде түсіндірілуі және оның қасиеттері. Ньютон-Лейбниц формуласы. Анықталған интегралды есептеудің негізгі әдістері. Анықталған интеграл қолданыстары.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</w:t>
            </w:r>
            <w:r>
              <w:rPr>
                <w:rFonts w:ascii="Times New Roman" w:eastAsia="Times New Roman" w:hAnsi="Times New Roman" w:cs="Times New Roman"/>
              </w:rPr>
              <w:t>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ПС. Анықталған интегралда айнымалыны ауыстыру. Бөліктеп интегралдау әдістері.Жазық фигуралардың ауданын есептеу.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7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СОӨЖ. Коллоквиум (2 жане 3 модуль  бойынша тест).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 в СДО Moodle.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</w:tr>
      <w:tr w:rsidR="004F6805">
        <w:trPr>
          <w:trHeight w:val="29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Midterm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Д. Дифференциалдық теңдеулер. Негізгі ұғымдар. Бірінші ретті дифференциалдық теңдеулер.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ПС. Бірінші ретті дифференциалдық теңдеулер.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СОӨЖ 3- ӨЖ.«Интеграл және дифференциалдық теңдеулер» тарауы бойынша өздік жұмысты тарату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в СДО Moodle.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Д. Екінші ретті дифференциалдық теңдеулер.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ПС. Екінші ретті сызықты дифференциалдық теңдеулер.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F6805">
        <w:tc>
          <w:tcPr>
            <w:tcW w:w="10225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Модуль. Ықтималдықтар теориясы </w:t>
            </w: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Д. Кездейсоқ оқиғалар түрлері. Комбинаторика элементтері. Ықтималдық. Шартты ықтималдықтар.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ПС. Ықтималдық есептеу. Шартты ықтималдықтар. Ықтималдықтарды қосу және көбейту теоремалары.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4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СОӨЖ 3- ӨЖ.«Интеграл және дифференциалдық теңдеулер» тарауы бойынша өздік жұмысты кабылдау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Файл в PDF формате в СДО Moodle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ӨЖ</w:t>
            </w:r>
          </w:p>
        </w:tc>
      </w:tr>
      <w:tr w:rsidR="004F6805"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Д. Қайталанбалы тәуелсіз сынақтар. Бернулли формуласы. Муавр-Лапластың локалді және интегралдық формуласы. Кездейсоқ шамалар. Сандық сипатамасы.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4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ПС. Тәуелсіз сынақтар. Бернулли формуласы. Кездейсоқ шамалар. Сандық сипатамасы.</w:t>
            </w:r>
          </w:p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Модуль  бойынша бақылау жұмысы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4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БЖ</w:t>
            </w:r>
          </w:p>
        </w:tc>
      </w:tr>
      <w:tr w:rsidR="004F6805">
        <w:trPr>
          <w:trHeight w:val="449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Д. Үлестірім заңдары. Биномдық, Пуассон, бірқалыпты, қалыпты үлестірімдер.  Үлестірім заңдарының сандық сипаттамалары.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Teams/Zoom-да бейнедәріс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ПС.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Дискреттік және үзіліссіз кездейсоқ шамалар. Кездейсоқ шамалардың сандық сипаттамалары (математикалық күтім, дисперсия, моменттер, мода, медиана және квантиль).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5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 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 Teams/ Zoom вебинар</w:t>
            </w:r>
          </w:p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СДО Moodle тапсырма.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ҮТ</w:t>
            </w:r>
          </w:p>
        </w:tc>
      </w:tr>
      <w:tr w:rsidR="004F6805"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СОӨЖ. Коллоквиум (3 және 4  Модуль  бойынша тест).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 СДО Moodle.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85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</w:tr>
      <w:tr w:rsidR="004F6805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Аралық бақылау 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4F680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6805">
        <w:trPr>
          <w:trHeight w:val="276"/>
        </w:trPr>
        <w:tc>
          <w:tcPr>
            <w:tcW w:w="581" w:type="dxa"/>
            <w:gridSpan w:val="2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1" w:type="dxa"/>
            <w:gridSpan w:val="3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</w:t>
            </w:r>
          </w:p>
        </w:tc>
        <w:tc>
          <w:tcPr>
            <w:tcW w:w="832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29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2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0" w:type="dxa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620" w:type="dxa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F6805">
        <w:trPr>
          <w:trHeight w:val="276"/>
        </w:trPr>
        <w:tc>
          <w:tcPr>
            <w:tcW w:w="581" w:type="dxa"/>
            <w:gridSpan w:val="2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1" w:type="dxa"/>
            <w:gridSpan w:val="3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Барлығы</w:t>
            </w:r>
          </w:p>
        </w:tc>
        <w:tc>
          <w:tcPr>
            <w:tcW w:w="832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</w:tcPr>
          <w:p w:rsidR="004F6805" w:rsidRDefault="004F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4F6805" w:rsidRDefault="00852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1620" w:type="dxa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4F6805" w:rsidRDefault="004F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[Қысқартулар: ӨТС – өзін-өзі тексеру үшін сұрақтар; </w:t>
      </w:r>
      <w:r>
        <w:rPr>
          <w:rFonts w:ascii="Times New Roman" w:eastAsia="Times New Roman" w:hAnsi="Times New Roman" w:cs="Times New Roman"/>
        </w:rPr>
        <w:t>ҮТ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</w:rPr>
        <w:t>үй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тапсырмалары; </w:t>
      </w:r>
      <w:r>
        <w:rPr>
          <w:rFonts w:ascii="Times New Roman" w:eastAsia="Times New Roman" w:hAnsi="Times New Roman" w:cs="Times New Roman"/>
        </w:rPr>
        <w:t>ӨЖ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өзідік жұмыс;  БЖ – бақылау жұмысы; АБ – аралық бақылау. 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Ескертулер: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 өткізу т</w:t>
      </w:r>
      <w:r>
        <w:rPr>
          <w:rFonts w:ascii="Times New Roman" w:eastAsia="Times New Roman" w:hAnsi="Times New Roman" w:cs="Times New Roman"/>
          <w:sz w:val="20"/>
          <w:szCs w:val="20"/>
        </w:rPr>
        <w:t>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Курстың барлық материалдарын (Д, ӨТС, </w:t>
      </w:r>
      <w:r>
        <w:rPr>
          <w:rFonts w:ascii="Times New Roman" w:eastAsia="Times New Roman" w:hAnsi="Times New Roman" w:cs="Times New Roman"/>
        </w:rPr>
        <w:t>ҮТ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</w:rPr>
        <w:t>ӨЖ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және т.б.) сілтемеден қараңыз (Әдебиет және  ресурстар, 6-тармақты қараңыз).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4F6805" w:rsidRDefault="0085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4F6805" w:rsidRDefault="004F6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37" w:rsidRPr="006203A8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454037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4037" w:rsidRPr="00C30799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</w:rPr>
        <w:t xml:space="preserve">Әдістемелік бюро төрайымы  </w:t>
      </w:r>
      <w:r w:rsidRPr="00C30799">
        <w:rPr>
          <w:rFonts w:ascii="Times New Roman" w:hAnsi="Times New Roman" w:cs="Times New Roman"/>
          <w:sz w:val="18"/>
          <w:szCs w:val="20"/>
        </w:rPr>
        <w:tab/>
      </w:r>
      <w:r w:rsidRPr="00C30799">
        <w:rPr>
          <w:rFonts w:ascii="Times New Roman" w:hAnsi="Times New Roman" w:cs="Times New Roman"/>
          <w:sz w:val="18"/>
          <w:szCs w:val="20"/>
        </w:rPr>
        <w:tab/>
      </w:r>
      <w:r w:rsidRPr="00C3079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Г. Ділдәбек</w:t>
      </w:r>
      <w:r w:rsidRPr="00C30799">
        <w:rPr>
          <w:rFonts w:ascii="Times New Roman" w:hAnsi="Times New Roman" w:cs="Times New Roman"/>
          <w:sz w:val="20"/>
          <w:szCs w:val="20"/>
        </w:rPr>
        <w:tab/>
      </w:r>
      <w:r w:rsidRPr="00C30799">
        <w:rPr>
          <w:rFonts w:ascii="Times New Roman" w:hAnsi="Times New Roman" w:cs="Times New Roman"/>
          <w:sz w:val="20"/>
          <w:szCs w:val="20"/>
        </w:rPr>
        <w:tab/>
      </w:r>
    </w:p>
    <w:p w:rsidR="00454037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4037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Кафедра меңгерушісі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Б.Д. Кошанов</w:t>
      </w:r>
    </w:p>
    <w:p w:rsidR="00454037" w:rsidRPr="006203A8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:rsidR="00454037" w:rsidRPr="00C867CD" w:rsidRDefault="00454037" w:rsidP="00454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Дәріскер</w:t>
      </w:r>
      <w:r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Н. Атахан</w:t>
      </w:r>
    </w:p>
    <w:p w:rsidR="004F6805" w:rsidRDefault="004F680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F6805">
      <w:pgSz w:w="11906" w:h="16838"/>
      <w:pgMar w:top="567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1841"/>
    <w:multiLevelType w:val="multilevel"/>
    <w:tmpl w:val="7310CC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4515578"/>
    <w:multiLevelType w:val="multilevel"/>
    <w:tmpl w:val="56CE80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F6805"/>
    <w:rsid w:val="00454037"/>
    <w:rsid w:val="004F6805"/>
    <w:rsid w:val="0085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zbekova16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2180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2022-02-25T09:21:00Z</dcterms:created>
  <dcterms:modified xsi:type="dcterms:W3CDTF">2022-02-25T09:26:00Z</dcterms:modified>
</cp:coreProperties>
</file>